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 w:before="2400"/>
        <w:jc w:val="center"/>
      </w:pPr>
      <w:r>
        <w:rPr>
          <w:b/>
          <w:bCs/>
          <w:color w:val="0F2E4A"/>
          <w:sz w:val="32"/>
          <w:szCs w:val="32"/>
        </w:rPr>
        <w:t xml:space="preserve">ООО «SELLAI» (SELLAI LLC)</w:t>
      </w:r>
    </w:p>
    <w:p>
      <w:pPr>
        <w:spacing w:after="120"/>
        <w:jc w:val="center"/>
      </w:pPr>
      <w:r>
        <w:rPr>
          <w:color w:val="1A1A1A"/>
          <w:sz w:val="24"/>
          <w:szCs w:val="24"/>
        </w:rPr>
        <w:t xml:space="preserve">Сервис SafeLaw (safelaw.ai)</w:t>
      </w:r>
    </w:p>
    <w:p>
      <w:pPr>
        <w:spacing w:after="2400"/>
        <w:jc w:val="center"/>
      </w:pPr>
      <w:r>
        <w:rPr>
          <w:color w:val="606060"/>
          <w:sz w:val="20"/>
          <w:szCs w:val="20"/>
        </w:rPr>
        <w:t xml:space="preserve">ИНН 312530703, г. Нукус, Республика Каракалпакстан, Узбекистан</w:t>
      </w:r>
    </w:p>
    <w:p>
      <w:pPr>
        <w:spacing w:after="240"/>
        <w:jc w:val="center"/>
      </w:pPr>
      <w:r>
        <w:rPr>
          <w:b/>
          <w:bCs/>
          <w:color w:val="0F2E4A"/>
          <w:sz w:val="44"/>
          <w:szCs w:val="44"/>
        </w:rPr>
        <w:t xml:space="preserve">ПОЛИТИКА ИНФОРМАЦИОННОЙ БЕЗОПАСНОСТИ</w:t>
      </w:r>
    </w:p>
    <w:p>
      <w:pPr>
        <w:spacing w:after="2400"/>
        <w:jc w:val="center"/>
      </w:pPr>
      <w:r>
        <w:rPr>
          <w:color w:val="606060"/>
          <w:sz w:val="22"/>
          <w:szCs w:val="22"/>
        </w:rPr>
        <w:t xml:space="preserve">Документ ISP-01</w:t>
      </w:r>
    </w:p>
    <w:p>
      <w:pPr>
        <w:jc w:val="center"/>
      </w:pPr>
      <w:r>
        <w:rPr>
          <w:sz w:val="22"/>
          <w:szCs w:val="22"/>
        </w:rPr>
        <w:t xml:space="preserve">Версия 1.0</w:t>
      </w:r>
    </w:p>
    <w:p>
      <w:pPr>
        <w:spacing w:after="120"/>
        <w:jc w:val="center"/>
      </w:pPr>
      <w:r>
        <w:rPr>
          <w:sz w:val="22"/>
          <w:szCs w:val="22"/>
        </w:rPr>
        <w:t xml:space="preserve">Дата ввода в действие: 15 мая 2026 г.</w:t>
      </w:r>
    </w:p>
    <w:p>
      <w:pPr>
        <w:spacing w:after="120"/>
        <w:jc w:val="center"/>
      </w:pPr>
      <w:r>
        <w:rPr>
          <w:i/>
          <w:iCs/>
          <w:color w:val="606060"/>
          <w:sz w:val="22"/>
          <w:szCs w:val="22"/>
        </w:rPr>
        <w:t xml:space="preserve">Соответствие: PCI DSS v4.0.1, SAQ A</w:t>
      </w:r>
    </w:p>
    <w:p>
      <w:r>
        <w:br w:type="page"/>
      </w:r>
    </w:p>
    <w:p>
      <w:pPr>
        <w:pStyle w:val="Heading1"/>
      </w:pPr>
      <w:r>
        <w:t xml:space="preserve">1. Назначение и цели</w:t>
      </w:r>
    </w:p>
    <w:p>
      <w:pPr>
        <w:spacing w:after="120"/>
        <w:jc w:val="both"/>
      </w:pPr>
      <w:r>
        <w:t xml:space="preserve">Настоящая Политика информационной безопасности (далее — Политика) устанавливает основные принципы, требования и направления деятельности ООО «SELLAI» (SELLAI LLC, ИНН 312530703, далее — Компания) в области защиты информации, в том числе платёжных данных держателей карт (Cardholder Data, далее — CHD), обрабатываемых в рамках предоставления сервиса SafeLaw (safelaw.ai).</w:t>
      </w:r>
    </w:p>
    <w:p>
      <w:pPr>
        <w:spacing w:after="120"/>
        <w:jc w:val="both"/>
      </w:pPr>
      <w:r>
        <w:t xml:space="preserve">Основные цели Политики: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обеспечение конфиденциальности, целостности и доступности информационных активов Компании;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защита данных платёжных карт пользователей в соответствии с требованиями стандарта PCI DSS v4.0.1 (уровень самооценки SAQ A);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соблюдение законодательства Республики Узбекистан, включая Закон РУз «О персональных данных» от 02.07.2019 № ЗРУ-547;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формирование единых правил информационной безопасности для всех работников, подрядчиков и третьих сторон Компании;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снижение операционных, финансовых и репутационных рисков, связанных с обработкой информации.</w:t>
      </w:r>
    </w:p>
    <w:p>
      <w:pPr>
        <w:pStyle w:val="Heading1"/>
      </w:pPr>
      <w:r>
        <w:t xml:space="preserve">2. Область применения</w:t>
      </w:r>
    </w:p>
    <w:p>
      <w:pPr>
        <w:spacing w:after="120"/>
        <w:jc w:val="both"/>
      </w:pPr>
      <w:r>
        <w:t xml:space="preserve">Политика обязательна для исполнения: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всеми штатными и внештатными работниками Компании;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всеми подрядчиками, консультантами и иными третьими лицами, имеющими доступ к информационным активам Компании;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во всех информационных системах, обрабатывающих данные пользователей сервиса SafeLaw, включая системы, размещённые у третьих сторон (TPSP).</w:t>
      </w:r>
    </w:p>
    <w:p>
      <w:pPr>
        <w:spacing w:after="120"/>
        <w:jc w:val="both"/>
      </w:pPr>
      <w:r>
        <w:t xml:space="preserve">Положения Политики распространяются на все формы обработки информации: электронную, бумажную и устную.</w:t>
      </w:r>
    </w:p>
    <w:p>
      <w:pPr>
        <w:pStyle w:val="Heading1"/>
      </w:pPr>
      <w:r>
        <w:t xml:space="preserve">3. Термины и определения</w:t>
      </w:r>
    </w:p>
    <w:p>
      <w:pPr>
        <w:spacing w:after="120"/>
        <w:jc w:val="both"/>
      </w:pPr>
      <w:r>
        <w:rPr>
          <w:b/>
          <w:bCs/>
        </w:rPr>
        <w:t xml:space="preserve">PAN (Primary Account Number)</w:t>
      </w:r>
      <w:r>
        <w:t xml:space="preserve"> — основной номер платёжной карты (12–19 цифр).</w:t>
      </w:r>
    </w:p>
    <w:p>
      <w:pPr>
        <w:spacing w:after="120"/>
        <w:jc w:val="both"/>
      </w:pPr>
      <w:r>
        <w:rPr>
          <w:b/>
          <w:bCs/>
        </w:rPr>
        <w:t xml:space="preserve">CHD (Cardholder Data)</w:t>
      </w:r>
      <w:r>
        <w:t xml:space="preserve"> — данные держателя карты: PAN, имя держателя, срок действия, сервисный код.</w:t>
      </w:r>
    </w:p>
    <w:p>
      <w:pPr>
        <w:spacing w:after="120"/>
        <w:jc w:val="both"/>
      </w:pPr>
      <w:r>
        <w:rPr>
          <w:b/>
          <w:bCs/>
        </w:rPr>
        <w:t xml:space="preserve">SAD (Sensitive Authentication Data)</w:t>
      </w:r>
      <w:r>
        <w:t xml:space="preserve"> — чувствительные аутентификационные данные: CVV/CVC, PIN, данные магнитной полосы.</w:t>
      </w:r>
    </w:p>
    <w:p>
      <w:pPr>
        <w:spacing w:after="120"/>
        <w:jc w:val="both"/>
      </w:pPr>
      <w:r>
        <w:rPr>
          <w:b/>
          <w:bCs/>
        </w:rPr>
        <w:t xml:space="preserve">CDE (Cardholder Data Environment)</w:t>
      </w:r>
      <w:r>
        <w:t xml:space="preserve"> — среда обработки данных платёжных карт. В случае Компании CDE минимизирована: PAN и SAD никогда не передаются и не хранятся на серверах Компании, а обрабатываются исключительно платёжным шлюзом эквайера (TPSP).</w:t>
      </w:r>
    </w:p>
    <w:p>
      <w:pPr>
        <w:spacing w:after="120"/>
        <w:jc w:val="both"/>
      </w:pPr>
      <w:r>
        <w:rPr>
          <w:b/>
          <w:bCs/>
        </w:rPr>
        <w:t xml:space="preserve">TPSP (Third-Party Service Provider)</w:t>
      </w:r>
      <w:r>
        <w:t xml:space="preserve"> — поставщик услуг, имеющий доступ к данным платёжных карт либо могущий повлиять на безопасность CDE Компании.</w:t>
      </w:r>
    </w:p>
    <w:p>
      <w:pPr>
        <w:spacing w:after="120"/>
        <w:jc w:val="both"/>
      </w:pPr>
      <w:r>
        <w:rPr>
          <w:b/>
          <w:bCs/>
        </w:rPr>
        <w:t xml:space="preserve">PCI DSS</w:t>
      </w:r>
      <w:r>
        <w:t xml:space="preserve"> — Payment Card Industry Data Security Standard, международный стандарт безопасности данных индустрии платёжных карт.</w:t>
      </w:r>
    </w:p>
    <w:p>
      <w:pPr>
        <w:spacing w:after="120"/>
        <w:jc w:val="both"/>
      </w:pPr>
      <w:r>
        <w:rPr>
          <w:b/>
          <w:bCs/>
        </w:rPr>
        <w:t xml:space="preserve">SAQ A</w:t>
      </w:r>
      <w:r>
        <w:t xml:space="preserve"> — Self-Assessment Questionnaire A, опросник самооценки соответствия PCI DSS для мерчантов с полным аутсорсингом обработки CHD.</w:t>
      </w:r>
    </w:p>
    <w:p>
      <w:pPr>
        <w:spacing w:after="120"/>
        <w:jc w:val="both"/>
      </w:pPr>
      <w:r>
        <w:rPr>
          <w:b/>
          <w:bCs/>
        </w:rPr>
        <w:t xml:space="preserve">MFA (Multi-Factor Authentication)</w:t>
      </w:r>
      <w:r>
        <w:t xml:space="preserve"> — многофакторная аутентификация.</w:t>
      </w:r>
    </w:p>
    <w:p>
      <w:pPr>
        <w:spacing w:after="120"/>
        <w:jc w:val="both"/>
      </w:pPr>
      <w:r>
        <w:rPr>
          <w:b/>
          <w:bCs/>
        </w:rPr>
        <w:t xml:space="preserve">Информационный актив</w:t>
      </w:r>
      <w:r>
        <w:t xml:space="preserve"> — любая информация и её носители, имеющие ценность для Компании.</w:t>
      </w:r>
    </w:p>
    <w:p>
      <w:pPr>
        <w:spacing w:after="120"/>
        <w:jc w:val="both"/>
      </w:pPr>
      <w:r>
        <w:rPr>
          <w:b/>
          <w:bCs/>
        </w:rPr>
        <w:t xml:space="preserve">Инцидент информационной безопасности</w:t>
      </w:r>
      <w:r>
        <w:t xml:space="preserve"> — одно или несколько нежелательных или непредвиденных событий, угрожающих безопасности информации.</w:t>
      </w:r>
    </w:p>
    <w:p>
      <w:pPr>
        <w:pStyle w:val="Heading1"/>
      </w:pPr>
      <w:r>
        <w:t xml:space="preserve">4. Принципы информационной безопасности</w:t>
      </w:r>
    </w:p>
    <w:p>
      <w:pPr>
        <w:spacing w:after="120"/>
        <w:jc w:val="both"/>
      </w:pPr>
      <w:r>
        <w:t xml:space="preserve">Деятельность Компании в области информационной безопасности основывается на следующих принципах:</w:t>
      </w:r>
    </w:p>
    <w:p>
      <w:pPr>
        <w:pStyle w:val="Heading2"/>
      </w:pPr>
      <w:r>
        <w:t xml:space="preserve">4.1. Конфиденциальность</w:t>
      </w:r>
    </w:p>
    <w:p>
      <w:pPr>
        <w:spacing w:after="120"/>
        <w:jc w:val="both"/>
      </w:pPr>
      <w:r>
        <w:t xml:space="preserve">Информация ограниченного доступа предоставляется только тем лицам, которым она необходима для выполнения служебных обязанностей (принцип «need-to-know»).</w:t>
      </w:r>
    </w:p>
    <w:p>
      <w:pPr>
        <w:pStyle w:val="Heading2"/>
      </w:pPr>
      <w:r>
        <w:t xml:space="preserve">4.2. Целостность</w:t>
      </w:r>
    </w:p>
    <w:p>
      <w:pPr>
        <w:spacing w:after="120"/>
        <w:jc w:val="both"/>
      </w:pPr>
      <w:r>
        <w:t xml:space="preserve">Информационные активы защищаются от несанкционированного изменения, искажения или уничтожения. Применяются механизмы контроля версий, журналирования действий и проверки целостности.</w:t>
      </w:r>
    </w:p>
    <w:p>
      <w:pPr>
        <w:pStyle w:val="Heading2"/>
      </w:pPr>
      <w:r>
        <w:t xml:space="preserve">4.3. Доступность</w:t>
      </w:r>
    </w:p>
    <w:p>
      <w:pPr>
        <w:spacing w:after="120"/>
        <w:jc w:val="both"/>
      </w:pPr>
      <w:r>
        <w:t xml:space="preserve">Информационные системы и данные доступны уполномоченным пользователям тогда, когда это необходимо для выполнения служебных обязанностей. Обеспечиваются резервное копирование, отказоустойчивость и план непрерывности деятельности.</w:t>
      </w:r>
    </w:p>
    <w:p>
      <w:pPr>
        <w:pStyle w:val="Heading2"/>
      </w:pPr>
      <w:r>
        <w:t xml:space="preserve">4.4. Минимизация данных</w:t>
      </w:r>
    </w:p>
    <w:p>
      <w:pPr>
        <w:spacing w:after="120"/>
        <w:jc w:val="both"/>
      </w:pPr>
      <w:r>
        <w:t xml:space="preserve">Компания не собирает, не хранит и не обрабатывает данные платёжных карт (PAN, SAD) на собственной инфраструктуре. Обработка платежей полностью передана PCI DSS-сертифицированному TPSP — банку-эквайеру АКБ «Ипак Йули» через redirect flow.</w:t>
      </w:r>
    </w:p>
    <w:p>
      <w:pPr>
        <w:pStyle w:val="Heading2"/>
      </w:pPr>
      <w:r>
        <w:t xml:space="preserve">4.5. Защита по умолчанию (Security by Default)</w:t>
      </w:r>
    </w:p>
    <w:p>
      <w:pPr>
        <w:spacing w:after="120"/>
        <w:jc w:val="both"/>
      </w:pPr>
      <w:r>
        <w:t xml:space="preserve">Новые системы, приложения и сервисы проектируются и развёртываются с включёнными по умолчанию мерами безопасности.</w:t>
      </w:r>
    </w:p>
    <w:p>
      <w:pPr>
        <w:pStyle w:val="Heading1"/>
      </w:pPr>
      <w:r>
        <w:t xml:space="preserve">5. Защита данных платёжных карт</w:t>
      </w:r>
    </w:p>
    <w:p>
      <w:pPr>
        <w:pStyle w:val="Heading2"/>
      </w:pPr>
      <w:r>
        <w:t xml:space="preserve">5.1. Архитектура минимизации CDE</w:t>
      </w:r>
    </w:p>
    <w:p>
      <w:pPr>
        <w:spacing w:after="120"/>
        <w:jc w:val="both"/>
      </w:pPr>
      <w:r>
        <w:t xml:space="preserve">Компания реализует архитектуру с минимальной CDE: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пользователь инициирует оплату на сайте safelaw.ai;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сайт перенаправляет (HTTP 302 redirect) пользователя на платёжную страницу, размещённую на инфраструктуре банка-эквайера (АКБ «Ипак Йули»);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ввод номера карты, срока действия, CVV и иных платёжных реквизитов осуществляется исключительно на стороне банка-эквайера;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после завершения операции (успех/отказ) пользователь возвращается на safelaw.ai с идентификатором транзакции; PAN и SAD не передаются на серверы Компании.</w:t>
      </w:r>
    </w:p>
    <w:p>
      <w:pPr>
        <w:spacing w:after="120"/>
        <w:jc w:val="both"/>
      </w:pPr>
      <w:r>
        <w:t xml:space="preserve">Данная архитектура соответствует критериям применимости опросника SAQ A в редакции PCI DSS v4.0.1 r1 (январь 2025).</w:t>
      </w:r>
    </w:p>
    <w:p>
      <w:pPr>
        <w:pStyle w:val="Heading2"/>
      </w:pPr>
      <w:r>
        <w:t xml:space="preserve">5.2. Запрет на хранение и обработку CHD</w:t>
      </w:r>
    </w:p>
    <w:p>
      <w:pPr>
        <w:spacing w:after="120"/>
        <w:jc w:val="both"/>
      </w:pPr>
      <w:r>
        <w:t xml:space="preserve">Категорически запрещается: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сохранять PAN, CVV/CVC, PIN-коды, данные магнитной полосы в каких-либо системах, базах данных, логах, файлах резервных копий или иных хранилищах Компании;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принимать платёжные реквизиты по электронной почте, мессенджерам, телефону, бумажным носителям или иным каналам, минующим платёжный шлюз эквайера;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создавать снимки экрана платёжных страниц, содержащие платёжные реквизиты пользователей;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разрабатывать или внедрять механизмы, которые могли бы привести к попаданию PAN или SAD в инфраструктуру Компании, без предварительной оценки соответствия PCI DSS уровня SAQ A-EP или SAQ D.</w:t>
      </w:r>
    </w:p>
    <w:p>
      <w:pPr>
        <w:pStyle w:val="Heading2"/>
      </w:pPr>
      <w:r>
        <w:t xml:space="preserve">5.3. Маскирование и токенизация</w:t>
      </w:r>
    </w:p>
    <w:p>
      <w:pPr>
        <w:spacing w:after="120"/>
        <w:jc w:val="both"/>
      </w:pPr>
      <w:r>
        <w:t xml:space="preserve">В случае, если в системах Компании отображается информация о платёжной операции (например, в личном кабинете пользователя или в служебных отчётах), допускается отображение только последних 4 цифр PAN. Иные элементы PAN маскируются.</w:t>
      </w:r>
    </w:p>
    <w:p>
      <w:pPr>
        <w:pStyle w:val="Heading2"/>
      </w:pPr>
      <w:r>
        <w:t xml:space="preserve">5.4. Передача данных</w:t>
      </w:r>
    </w:p>
    <w:p>
      <w:pPr>
        <w:spacing w:after="120"/>
        <w:jc w:val="both"/>
      </w:pPr>
      <w:r>
        <w:t xml:space="preserve">Все каналы передачи данных между Компанией и пользователями, а также между Компанией и TPSP, защищаются протоколом TLS версии 1.2 или выше. Передача нешифрованных данных запрещена.</w:t>
      </w:r>
    </w:p>
    <w:p>
      <w:pPr>
        <w:pStyle w:val="Heading1"/>
      </w:pPr>
      <w:r>
        <w:t xml:space="preserve">6. Управление доступом</w:t>
      </w:r>
    </w:p>
    <w:p>
      <w:pPr>
        <w:pStyle w:val="Heading2"/>
      </w:pPr>
      <w:r>
        <w:t xml:space="preserve">6.1. Идентификация и аутентификация</w:t>
      </w:r>
    </w:p>
    <w:p>
      <w:pPr>
        <w:spacing w:after="120"/>
        <w:jc w:val="both"/>
      </w:pPr>
      <w:r>
        <w:t xml:space="preserve">Каждому пользователю информационных систем Компании присваивается уникальный идентификатор. Использование общих, групповых или анонимных учётных записей запрещено.</w:t>
      </w:r>
    </w:p>
    <w:p>
      <w:pPr>
        <w:pStyle w:val="Heading2"/>
      </w:pPr>
      <w:r>
        <w:t xml:space="preserve">6.2. Парольная политика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минимальная длина пароля — 12 символов;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пароль должен содержать символы как минимум двух категорий (буквы и цифры);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пароли изменяются не реже одного раза в 90 дней либо при условии динамического анализа состояния безопасности учётной записи;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при первой авторизации пользователь обязан сменить пароль, выданный администратором;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хранение паролей в открытом виде запрещено; применяется хэширование с использованием стойких алгоритмов (bcrypt, Argon2 или эквивалентных).</w:t>
      </w:r>
    </w:p>
    <w:p>
      <w:pPr>
        <w:pStyle w:val="Heading2"/>
      </w:pPr>
      <w:r>
        <w:t xml:space="preserve">6.3. Многофакторная аутентификация (MFA)</w:t>
      </w:r>
    </w:p>
    <w:p>
      <w:pPr>
        <w:spacing w:after="120"/>
        <w:jc w:val="both"/>
      </w:pPr>
      <w:r>
        <w:t xml:space="preserve">Многофакторная аутентификация обязательна для: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доступа к административным консолям и серверам Компании;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доступа к Google Workspace, Cloudflare, Namecheap, репозиториям исходного кода и иным критическим сервисам;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удалённого доступа к корпоративным ресурсам;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доступа к личному кабинету банка-эквайера и иным платёжным сервисам.</w:t>
      </w:r>
    </w:p>
    <w:p>
      <w:pPr>
        <w:pStyle w:val="Heading2"/>
      </w:pPr>
      <w:r>
        <w:t xml:space="preserve">6.4. Принцип минимальных привилегий</w:t>
      </w:r>
    </w:p>
    <w:p>
      <w:pPr>
        <w:spacing w:after="120"/>
        <w:jc w:val="both"/>
      </w:pPr>
      <w:r>
        <w:t xml:space="preserve">Права доступа предоставляются исходя из служебной необходимости. Привилегированные учётные записи (administrator, root, owner) используются только для выполнения соответствующих задач и не используются для повседневной работы.</w:t>
      </w:r>
    </w:p>
    <w:p>
      <w:pPr>
        <w:pStyle w:val="Heading2"/>
      </w:pPr>
      <w:r>
        <w:t xml:space="preserve">6.5. Управление учётными записями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создание учётных записей осуществляется по письменному обращению руководителя на основании служебной необходимости;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права доступа пересматриваются не реже одного раза в шесть месяцев;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при увольнении работника или прекращении договора с подрядчиком учётные записи блокируются в день прекращения отношений;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неактивные учётные записи блокируются через 90 дней неиспользования.</w:t>
      </w:r>
    </w:p>
    <w:p>
      <w:pPr>
        <w:pStyle w:val="Heading1"/>
      </w:pPr>
      <w:r>
        <w:t xml:space="preserve">7. Криптографическая защита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для шифрования данных при передаче применяется TLS 1.2 или TLS 1.3 с использованием криптостойких шифров;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для хэширования паролей применяются алгоритмы bcrypt, Argon2 либо PBKDF2;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криптографические ключи хранятся отдельно от защищаемых ими данных, доступ к ключам имеют только уполномоченные лица;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используются современные TLS-сертификаты от доверенных удостоверяющих центров; сертификаты обновляются до истечения срока действия.</w:t>
      </w:r>
    </w:p>
    <w:p>
      <w:pPr>
        <w:pStyle w:val="Heading1"/>
      </w:pPr>
      <w:r>
        <w:t xml:space="preserve">8. Управление уязвимостями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операционные системы и программное обеспечение серверов обновляются не реже одного раза в месяц; критические обновления безопасности устанавливаются в течение 30 дней с момента выхода;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используется межсетевой экран приложений (WAF) Cloudflare для защиты публичных веб-ресурсов;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регулярно (не реже раза в квартал) выполняется сканирование на уязвимости публичных веб-сервисов;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при выявлении критических уязвимостей принимаются меры по их устранению в кратчайшие сроки.</w:t>
      </w:r>
    </w:p>
    <w:p>
      <w:pPr>
        <w:pStyle w:val="Heading1"/>
      </w:pPr>
      <w:r>
        <w:t xml:space="preserve">9. Физическая безопасность</w:t>
      </w:r>
    </w:p>
    <w:p>
      <w:pPr>
        <w:spacing w:after="120"/>
        <w:jc w:val="both"/>
      </w:pPr>
      <w:r>
        <w:t xml:space="preserve">Информационные системы Компании размещаются в дата-центре поставщика хостинговых услуг (Netcup GmbH, Германия), который обеспечивает соответствующие меры физической безопасности (контроль доступа, видеонаблюдение, защита от пожара, резервное электропитание). Компания не имеет собственного серверного оборудования.</w:t>
      </w:r>
    </w:p>
    <w:p>
      <w:pPr>
        <w:spacing w:after="120"/>
        <w:jc w:val="both"/>
      </w:pPr>
      <w:r>
        <w:t xml:space="preserve">Рабочие места работников должны быть защищены от несанкционированного доступа: при отсутствии работника на рабочем месте экран блокируется, бумажные документы убираются.</w:t>
      </w:r>
    </w:p>
    <w:p>
      <w:pPr>
        <w:pStyle w:val="Heading1"/>
      </w:pPr>
      <w:r>
        <w:t xml:space="preserve">10. Управление инцидентами</w:t>
      </w:r>
    </w:p>
    <w:p>
      <w:pPr>
        <w:spacing w:after="120"/>
        <w:jc w:val="both"/>
      </w:pPr>
      <w:r>
        <w:t xml:space="preserve">Все инциденты информационной безопасности обрабатываются в соответствии с отдельным документом — «План реагирования на инциденты информационной безопасности» (IRP-01). Работники обязаны незамедлительно сообщать о любых подозрениях на инцидент по адресу security@safelaw.ai.</w:t>
      </w:r>
    </w:p>
    <w:p>
      <w:pPr>
        <w:pStyle w:val="Heading1"/>
      </w:pPr>
      <w:r>
        <w:t xml:space="preserve">11. Управление третьими сторонами</w:t>
      </w:r>
    </w:p>
    <w:p>
      <w:pPr>
        <w:spacing w:after="120"/>
        <w:jc w:val="both"/>
      </w:pPr>
      <w:r>
        <w:t xml:space="preserve">Взаимодействие с поставщиками услуг (TPSP), имеющими доступ к данным Компании или влияющими на безопасность CDE, регламентируется отдельным документом — «Политика управления поставщиками услуг» (TPSP-01).</w:t>
      </w:r>
    </w:p>
    <w:p>
      <w:pPr>
        <w:spacing w:after="120"/>
        <w:jc w:val="both"/>
      </w:pPr>
      <w:r>
        <w:t xml:space="preserve">Ключевые TPSP Компании: АКБ «Ипак Йули» (платёжный эквайер), Cloudflare, Inc. (WAF/CDN), Netcup GmbH (хостинг), Google LLC (Workspace, Vertex AI), Anthropic PBC (Claude API), OpenAI, OpCo, LLC (GPT API), Namecheap, Inc. (доменный регистратор).</w:t>
      </w:r>
    </w:p>
    <w:p>
      <w:pPr>
        <w:pStyle w:val="Heading1"/>
      </w:pPr>
      <w:r>
        <w:t xml:space="preserve">12. Обучение и осведомлённость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все работники проходят первичный инструктаж по информационной безопасности при приёме на работу;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повторное обучение проводится не реже одного раза в год;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работники, имеющие доступ к чувствительным данным, проходят дополнительные тематические тренинги;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обучение охватывает темы: парольная безопасность, фишинг, социальная инженерия, безопасное использование электронной почты, обработка инцидентов.</w:t>
      </w:r>
    </w:p>
    <w:p>
      <w:pPr>
        <w:pStyle w:val="Heading1"/>
      </w:pPr>
      <w:r>
        <w:t xml:space="preserve">13. Соответствие законодательству</w:t>
      </w:r>
    </w:p>
    <w:p>
      <w:pPr>
        <w:spacing w:after="120"/>
        <w:jc w:val="both"/>
      </w:pPr>
      <w:r>
        <w:t xml:space="preserve">Компания соблюдает требования законодательства Республики Узбекистан, в том числе: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Закона РУз «О персональных данных» № ЗРУ-547 от 02.07.2019;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Закона РУз «Об информации» № 530-I от 11.12.2003;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Закона РУз «Об электронной коммерции» № ЗРУ-792 от 22.05.2022;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требований Центрального банка Республики Узбекистан в части защиты платёжной информации;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требований международного стандарта PCI DSS v4.0.1 в части, применимой к мерчантам уровня SAQ A.</w:t>
      </w:r>
    </w:p>
    <w:p>
      <w:pPr>
        <w:pStyle w:val="Heading1"/>
      </w:pPr>
      <w:r>
        <w:t xml:space="preserve">14. Роли и ответственность</w:t>
      </w:r>
    </w:p>
    <w:p>
      <w:pPr>
        <w:pStyle w:val="Heading2"/>
      </w:pPr>
      <w:r>
        <w:t xml:space="preserve">14.1. Директор Компании</w:t>
      </w:r>
    </w:p>
    <w:p>
      <w:pPr>
        <w:spacing w:after="120"/>
        <w:jc w:val="both"/>
      </w:pPr>
      <w:r>
        <w:t xml:space="preserve">Несёт общую ответственность за информационную безопасность Компании, утверждает настоящую Политику и связанные документы, выделяет ресурсы для её реализации.</w:t>
      </w:r>
    </w:p>
    <w:p>
      <w:pPr>
        <w:pStyle w:val="Heading2"/>
      </w:pPr>
      <w:r>
        <w:t xml:space="preserve">14.2. Ответственный за информационную безопасность</w:t>
      </w:r>
    </w:p>
    <w:p>
      <w:pPr>
        <w:spacing w:after="120"/>
        <w:jc w:val="both"/>
      </w:pPr>
      <w:r>
        <w:t xml:space="preserve">Назначается приказом директора. Координирует деятельность по информационной безопасности, организует обучение, ведёт расследование инцидентов, контролирует соответствие требованиям PCI DSS. До назначения отдельного сотрудника функции исполняет директор Компании.</w:t>
      </w:r>
    </w:p>
    <w:p>
      <w:pPr>
        <w:pStyle w:val="Heading2"/>
      </w:pPr>
      <w:r>
        <w:t xml:space="preserve">14.3. Все работники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соблюдают настоящую Политику и связанные с ней документы;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незамедлительно сообщают о подозрениях на инциденты информационной безопасности;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используют информационные активы Компании только в служебных целях;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обеспечивают сохранность учётных данных и не передают их третьим лицам.</w:t>
      </w:r>
    </w:p>
    <w:p>
      <w:pPr>
        <w:pStyle w:val="Heading1"/>
      </w:pPr>
      <w:r>
        <w:t xml:space="preserve">15. Нарушения Политики</w:t>
      </w:r>
    </w:p>
    <w:p>
      <w:pPr>
        <w:spacing w:after="120"/>
        <w:jc w:val="both"/>
      </w:pPr>
      <w:r>
        <w:t xml:space="preserve">Нарушение положений настоящей Политики влечёт ответственность в соответствии с трудовым законодательством Республики Узбекистан, условиями трудового или гражданско-правового договора, а в установленных законом случаях — административную и уголовную ответственность.</w:t>
      </w:r>
    </w:p>
    <w:p>
      <w:pPr>
        <w:pStyle w:val="Heading1"/>
      </w:pPr>
      <w:r>
        <w:t xml:space="preserve">16. Пересмотр и обновление</w:t>
      </w:r>
    </w:p>
    <w:p>
      <w:pPr>
        <w:spacing w:after="120"/>
        <w:jc w:val="both"/>
      </w:pPr>
      <w:r>
        <w:t xml:space="preserve">Настоящая Политика пересматривается не реже одного раза в 12 месяцев, а также при существенных изменениях бизнес-процессов, информационной инфраструктуры, нормативно-правовой базы или после крупных инцидентов информационной безопасности. Контроль соблюдения данного требования возлагается на ответственного за информационную безопасность.</w:t>
      </w:r>
    </w:p>
    <w:p>
      <w:pPr>
        <w:pStyle w:val="Heading1"/>
      </w:pPr>
      <w:r>
        <w:t xml:space="preserve">17. Сведения о документе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2000"/>
        <w:gridCol w:w="3026"/>
        <w:gridCol w:w="2500"/>
      </w:tblGrid>
      <w:tr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FECE4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</w:rPr>
              <w:t xml:space="preserve">Версия</w:t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FECE4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</w:rPr>
              <w:t xml:space="preserve">Дата</w:t>
            </w:r>
          </w:p>
        </w:tc>
        <w:tc>
          <w:tcPr>
            <w:tcW w:type="dxa" w:w="30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FECE4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</w:rPr>
              <w:t xml:space="preserve">Изменения</w:t>
            </w:r>
          </w:p>
        </w:tc>
        <w:tc>
          <w:tcPr>
            <w:tcW w:type="dxa" w:w="2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FECE4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</w:rPr>
              <w:t xml:space="preserve">Утвердил</w:t>
            </w:r>
          </w:p>
        </w:tc>
      </w:tr>
      <w:tr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1.0</w:t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15.05.2026</w:t>
            </w:r>
          </w:p>
        </w:tc>
        <w:tc>
          <w:tcPr>
            <w:tcW w:type="dxa" w:w="30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Первичное утверждение документа</w:t>
            </w:r>
          </w:p>
        </w:tc>
        <w:tc>
          <w:tcPr>
            <w:tcW w:type="dxa" w:w="2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Жумамуратов Р.</w:t>
            </w:r>
          </w:p>
        </w:tc>
      </w:tr>
    </w:tbl>
    <w:p>
      <w:r>
        <w:t xml:space="preserve"/>
      </w:r>
    </w:p>
    <w:p>
      <w:pPr>
        <w:pStyle w:val="Heading2"/>
      </w:pPr>
      <w:r>
        <w:t xml:space="preserve">Утверждение документа</w:t>
      </w:r>
    </w:p>
    <w:p>
      <w:r>
        <w:t xml:space="preserve"/>
      </w:r>
    </w:p>
    <w:p>
      <w:pPr>
        <w:spacing w:after="120"/>
        <w:jc w:val="both"/>
      </w:pPr>
      <w:r>
        <w:t xml:space="preserve">Настоящий документ утверждён директором ООО «SELLAI» (SELLAI LLC) и вступает в силу с даты подписания. Документ подлежит обязательному ознакомлению всем персоналом, подрядчиками и иными лицами, имеющими доступ к информационным активам ООО «SELLAI».</w:t>
      </w:r>
    </w:p>
    <w:p>
      <w:r>
        <w:t xml:space="preserve"/>
      </w:r>
    </w:p>
    <w:p>
      <w:r>
        <w:t xml:space="preserve"/>
      </w:r>
    </w:p>
    <w:p>
      <w:pPr>
        <w:spacing w:after="120"/>
        <w:jc w:val="both"/>
      </w:pPr>
      <w:r>
        <w:t xml:space="preserve">Директор ООО «SELLAI»:</w:t>
      </w:r>
    </w:p>
    <w:p>
      <w:r>
        <w:t xml:space="preserve"/>
      </w:r>
    </w:p>
    <w:p>
      <w:pPr>
        <w:spacing w:after="120"/>
        <w:jc w:val="both"/>
      </w:pPr>
      <w:r>
        <w:rPr>
          <w:b w:val="false"/>
          <w:bCs w:val="false"/>
        </w:rPr>
        <w:t xml:space="preserve">_________________________  /  </w:t>
      </w:r>
      <w:r>
        <w:rPr>
          <w:b/>
          <w:bCs/>
        </w:rPr>
        <w:t xml:space="preserve">Жумамуратов Р.</w:t>
      </w:r>
    </w:p>
    <w:p>
      <w:pPr>
        <w:spacing w:after="120"/>
        <w:jc w:val="both"/>
      </w:pPr>
      <w:r>
        <w:t xml:space="preserve">                              (подпись)                              (расшифровка)</w:t>
      </w:r>
    </w:p>
    <w:p>
      <w:r>
        <w:t xml:space="preserve"/>
      </w:r>
    </w:p>
    <w:p>
      <w:pPr>
        <w:spacing w:after="120"/>
        <w:jc w:val="both"/>
      </w:pPr>
      <w:r>
        <w:t xml:space="preserve">Дата: «_____» _____________ 2026 г.</w:t>
      </w:r>
    </w:p>
    <w:p>
      <w:r>
        <w:t xml:space="preserve"/>
      </w:r>
    </w:p>
    <w:p>
      <w:pPr>
        <w:spacing w:after="120"/>
        <w:jc w:val="both"/>
      </w:pPr>
      <w:r>
        <w:t xml:space="preserve">М.П.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F2E4A" w:sz="6" w:space="6"/>
      </w:pBdr>
      <w:jc w:val="center"/>
    </w:pPr>
    <w:r>
      <w:rPr>
        <w:color w:val="606060"/>
        <w:sz w:val="18"/>
        <w:szCs w:val="18"/>
      </w:rPr>
      <w:t xml:space="preserve">ООО «SELLAI» (SELLAI LLC) — ИНН 312530703 — safelaw.ai — Конфиденциально</w:t>
    </w:r>
  </w:p>
  <w:p>
    <w:pPr>
      <w:jc w:val="center"/>
    </w:pPr>
    <w:r>
      <w:rPr>
        <w:color w:val="606060"/>
        <w:sz w:val="18"/>
        <w:szCs w:val="18"/>
      </w:rPr>
      <w:t xml:space="preserve">Страница </w:t>
    </w:r>
    <w:r>
      <w:rPr>
        <w:color w:val="606060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color w:val="606060"/>
        <w:sz w:val="18"/>
        <w:szCs w:val="18"/>
      </w:rPr>
      <w:t xml:space="preserve"> из </w:t>
    </w:r>
    <w:r>
      <w:rPr>
        <w:color w:val="606060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  <w:lvl w:ilvl="1" w15:tentative="1">
      <w:start w:val="1"/>
      <w:numFmt w:val="bullet"/>
      <w:lvlText w:val="◦"/>
      <w:lvlJc w:val="left"/>
      <w:pPr>
        <w:ind w:left="14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Arial" w:cs="Arial" w:eastAsia="Arial" w:hAnsi="Arial"/>
      <w:b/>
      <w:bCs/>
      <w:color w:val="0F2E4A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40" w:before="280"/>
      <w:outlineLvl w:val="1"/>
    </w:pPr>
    <w:rPr>
      <w:rFonts w:ascii="Arial" w:cs="Arial" w:eastAsia="Arial" w:hAnsi="Arial"/>
      <w:b/>
      <w:bCs/>
      <w:color w:val="0F2E4A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100" w:before="200"/>
      <w:outlineLvl w:val="2"/>
    </w:pPr>
    <w:rPr>
      <w:rFonts w:ascii="Arial" w:cs="Arial" w:eastAsia="Arial" w:hAnsi="Arial"/>
      <w:b/>
      <w:bCs/>
      <w:color w:val="1A1A1A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2026-05-15T14:08:13.522Z</dcterms:created>
  <dcterms:modified xsi:type="dcterms:W3CDTF">2026-05-15T14:08:13.523Z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